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κ轻链检测试剂盒（散射比浊法）等耗材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1"/>
        <w:gridCol w:w="895"/>
        <w:gridCol w:w="1350"/>
        <w:gridCol w:w="975"/>
        <w:gridCol w:w="1960"/>
        <w:gridCol w:w="2568"/>
        <w:gridCol w:w="826"/>
        <w:gridCol w:w="9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9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56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44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κ轻链检测试剂盒（散射比浊法）</w:t>
            </w:r>
          </w:p>
        </w:tc>
        <w:tc>
          <w:tcPr>
            <w:tcW w:w="97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100测试/盒</w:t>
            </w:r>
          </w:p>
        </w:tc>
        <w:tc>
          <w:tcPr>
            <w:tcW w:w="1960"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κ轻链检测，用于体外定量检测人体样本（血清、尿液）中κ轻链的含量。临床上主要用于自身免疫疾病、感染、肝病、肾病等的辅助诊断。</w:t>
            </w:r>
          </w:p>
        </w:tc>
        <w:tc>
          <w:tcPr>
            <w:tcW w:w="2568" w:type="dxa"/>
            <w:shd w:val="clear" w:color="auto" w:fill="auto"/>
            <w:vAlign w:val="center"/>
          </w:tcPr>
          <w:p>
            <w:pPr>
              <w:keepNext w:val="0"/>
              <w:keepLines w:val="0"/>
              <w:widowControl/>
              <w:suppressLineNumbers w:val="0"/>
              <w:jc w:val="left"/>
              <w:textAlignment w:val="center"/>
              <w:rPr>
                <w:rFonts w:hint="eastAsia"/>
              </w:rPr>
            </w:pPr>
            <w:r>
              <w:rPr>
                <w:rFonts w:hint="eastAsia"/>
              </w:rPr>
              <w:t>主要由液体+塑料试剂瓶+纸盒组成，样本中的κ轻链与试剂中的抗κ轻链抗体发生凝集反应，形成抗原抗体复合物，该复合物的光散射强度变化与κ轻链的浓度成比例，可进行速率散射比浊测定。</w:t>
            </w:r>
          </w:p>
          <w:p>
            <w:pPr>
              <w:keepNext w:val="0"/>
              <w:keepLines w:val="0"/>
              <w:widowControl/>
              <w:suppressLineNumbers w:val="0"/>
              <w:jc w:val="left"/>
              <w:textAlignment w:val="center"/>
              <w:rPr>
                <w:rFonts w:hint="default"/>
                <w:lang w:val="en-US" w:eastAsia="zh-CN"/>
              </w:rPr>
            </w:pP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800元/盒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lang w:val="en-US" w:eastAsia="zh-CN"/>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eastAsia"/>
              </w:rPr>
            </w:pPr>
            <w:r>
              <w:rPr>
                <w:rFonts w:hint="eastAsia"/>
              </w:rPr>
              <w:t>λ轻链检测试剂盒（散射比浊法）</w:t>
            </w:r>
          </w:p>
        </w:tc>
        <w:tc>
          <w:tcPr>
            <w:tcW w:w="975" w:type="dxa"/>
            <w:shd w:val="clear" w:color="auto" w:fill="auto"/>
            <w:vAlign w:val="center"/>
          </w:tcPr>
          <w:p>
            <w:pPr>
              <w:keepNext w:val="0"/>
              <w:keepLines w:val="0"/>
              <w:widowControl/>
              <w:suppressLineNumbers w:val="0"/>
              <w:jc w:val="left"/>
              <w:textAlignment w:val="center"/>
              <w:rPr>
                <w:rFonts w:hint="eastAsia"/>
              </w:rPr>
            </w:pPr>
            <w:r>
              <w:rPr>
                <w:rFonts w:hint="eastAsia"/>
              </w:rPr>
              <w:t>100测试/盒</w:t>
            </w:r>
          </w:p>
        </w:tc>
        <w:tc>
          <w:tcPr>
            <w:tcW w:w="1960" w:type="dxa"/>
            <w:shd w:val="clear" w:color="auto" w:fill="auto"/>
            <w:vAlign w:val="center"/>
          </w:tcPr>
          <w:p>
            <w:pPr>
              <w:keepNext w:val="0"/>
              <w:keepLines w:val="0"/>
              <w:widowControl/>
              <w:suppressLineNumbers w:val="0"/>
              <w:jc w:val="left"/>
              <w:textAlignment w:val="center"/>
              <w:rPr>
                <w:rFonts w:hint="eastAsia"/>
              </w:rPr>
            </w:pPr>
            <w:r>
              <w:rPr>
                <w:rFonts w:hint="eastAsia"/>
              </w:rPr>
              <w:t>λ轻链检测：用于体外定量检测人体样本（血清、尿液）中λ轻链的含量。 临床上主要用于自身免疫疾病、感染、肝病、肾病等的辅助诊断。</w:t>
            </w:r>
          </w:p>
        </w:tc>
        <w:tc>
          <w:tcPr>
            <w:tcW w:w="2568" w:type="dxa"/>
            <w:shd w:val="clear" w:color="auto" w:fill="auto"/>
            <w:vAlign w:val="center"/>
          </w:tcPr>
          <w:p>
            <w:pPr>
              <w:keepNext w:val="0"/>
              <w:keepLines w:val="0"/>
              <w:widowControl/>
              <w:suppressLineNumbers w:val="0"/>
              <w:jc w:val="left"/>
              <w:textAlignment w:val="center"/>
              <w:rPr>
                <w:rFonts w:hint="eastAsia"/>
              </w:rPr>
            </w:pPr>
            <w:r>
              <w:rPr>
                <w:rFonts w:hint="eastAsia"/>
              </w:rPr>
              <w:t>主要由液体+塑料试剂瓶+纸盒组成，样本中的λ轻链与试剂中的抗λ轻链抗体发生凝集反应，形成抗原抗体复合物，该复合物的光散射强度变化与λ轻链的浓度成比例，可进行速率散射比浊测定。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5盒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800元/盒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8"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eastAsia"/>
              </w:rPr>
            </w:pPr>
            <w:r>
              <w:rPr>
                <w:rFonts w:hint="eastAsia"/>
              </w:rPr>
              <w:t>κ游离轻链检测试剂盒（散射比浊法）</w:t>
            </w:r>
          </w:p>
        </w:tc>
        <w:tc>
          <w:tcPr>
            <w:tcW w:w="975" w:type="dxa"/>
            <w:shd w:val="clear" w:color="auto" w:fill="auto"/>
            <w:vAlign w:val="center"/>
          </w:tcPr>
          <w:p>
            <w:pPr>
              <w:keepNext w:val="0"/>
              <w:keepLines w:val="0"/>
              <w:widowControl/>
              <w:suppressLineNumbers w:val="0"/>
              <w:jc w:val="left"/>
              <w:textAlignment w:val="center"/>
              <w:rPr>
                <w:rFonts w:hint="eastAsia"/>
              </w:rPr>
            </w:pPr>
            <w:r>
              <w:rPr>
                <w:rFonts w:hint="eastAsia"/>
              </w:rPr>
              <w:t>100测试/盒</w:t>
            </w:r>
          </w:p>
        </w:tc>
        <w:tc>
          <w:tcPr>
            <w:tcW w:w="1960" w:type="dxa"/>
            <w:shd w:val="clear" w:color="auto" w:fill="auto"/>
            <w:vAlign w:val="center"/>
          </w:tcPr>
          <w:p>
            <w:pPr>
              <w:keepNext w:val="0"/>
              <w:keepLines w:val="0"/>
              <w:widowControl/>
              <w:suppressLineNumbers w:val="0"/>
              <w:jc w:val="left"/>
              <w:textAlignment w:val="center"/>
              <w:rPr>
                <w:rFonts w:hint="eastAsia"/>
              </w:rPr>
            </w:pPr>
            <w:r>
              <w:rPr>
                <w:rFonts w:hint="eastAsia"/>
              </w:rPr>
              <w:t>κ游离轻链检测用于多发性骨髓瘤、淀粉样变性或自身免疫性疾病等疾病的诊疗。</w:t>
            </w:r>
          </w:p>
        </w:tc>
        <w:tc>
          <w:tcPr>
            <w:tcW w:w="2568" w:type="dxa"/>
            <w:shd w:val="clear" w:color="auto" w:fill="auto"/>
            <w:vAlign w:val="center"/>
          </w:tcPr>
          <w:p>
            <w:pPr>
              <w:keepNext w:val="0"/>
              <w:keepLines w:val="0"/>
              <w:widowControl/>
              <w:suppressLineNumbers w:val="0"/>
              <w:jc w:val="left"/>
              <w:textAlignment w:val="center"/>
              <w:rPr>
                <w:rFonts w:hint="eastAsia"/>
              </w:rPr>
            </w:pPr>
            <w:r>
              <w:rPr>
                <w:rFonts w:hint="eastAsia"/>
              </w:rPr>
              <w:t>主要由液体+塑料试剂瓶+纸盒组成，样本中的游离κ轻链与试剂中的抗游离κ轻链抗体发生凝集反应，形成抗原抗体复合物，该复合物的光散射强度变化与游离κ轻链的浓度成比例，可进行速率散射比浊测定。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5盒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5000元/盒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0"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λ游离轻链检测试剂盒（散射比浊法）</w:t>
            </w:r>
          </w:p>
        </w:tc>
        <w:tc>
          <w:tcPr>
            <w:tcW w:w="97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100测试/盒</w:t>
            </w:r>
          </w:p>
        </w:tc>
        <w:tc>
          <w:tcPr>
            <w:tcW w:w="1960"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λ游离轻链检测用于多发性骨髓瘤、淀粉样变性或自身免疫性疾病等疾病的诊疗。</w:t>
            </w:r>
          </w:p>
        </w:tc>
        <w:tc>
          <w:tcPr>
            <w:tcW w:w="2568"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主要由液体+塑料试剂瓶+纸盒组成，样本中的游离λ轻链与试剂中的抗游离λ轻链抗体发生凝集反应，形成抗原抗体复合物，该复合物的光散射强度变化与游离λ轻链的浓度成比例，可进行速率散射比浊测定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5000元/盒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9931"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444"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bookmarkStart w:id="34" w:name="_GoBack"/>
      <w:bookmarkEnd w:id="34"/>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237057789"/>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302"/>
      <w:bookmarkStart w:id="7" w:name="_Toc166549448"/>
      <w:bookmarkStart w:id="8" w:name="_Toc173677397"/>
      <w:bookmarkStart w:id="9" w:name="_Toc156815770"/>
      <w:bookmarkStart w:id="10" w:name="_Toc156196470"/>
      <w:bookmarkStart w:id="11" w:name="_Toc166139912"/>
      <w:bookmarkStart w:id="12" w:name="_Toc128229745"/>
      <w:bookmarkStart w:id="13" w:name="_Toc175017342"/>
      <w:bookmarkStart w:id="14" w:name="_Toc128229916"/>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28229917"/>
      <w:bookmarkStart w:id="18" w:name="_Toc166139913"/>
      <w:bookmarkStart w:id="19" w:name="_Toc156730451"/>
      <w:bookmarkStart w:id="20" w:name="_Toc128229746"/>
      <w:bookmarkStart w:id="21" w:name="_Toc156196471"/>
      <w:bookmarkStart w:id="22" w:name="_Toc156196560"/>
      <w:bookmarkStart w:id="23" w:name="_Toc173677398"/>
      <w:bookmarkStart w:id="24" w:name="_Toc128229303"/>
      <w:bookmarkStart w:id="25" w:name="_Toc166549449"/>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56196472"/>
      <w:bookmarkStart w:id="29" w:name="_Toc237057793"/>
      <w:bookmarkStart w:id="30" w:name="_Toc128229304"/>
      <w:bookmarkStart w:id="31" w:name="_Toc128229747"/>
      <w:bookmarkStart w:id="32" w:name="_Toc128014297"/>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8480E12"/>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0F1C5C"/>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3F1AC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B34C26"/>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94519B"/>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98425A"/>
    <w:rsid w:val="6DA93E2C"/>
    <w:rsid w:val="6DC35E66"/>
    <w:rsid w:val="6E2521BC"/>
    <w:rsid w:val="6E2F6425"/>
    <w:rsid w:val="6E3E05AF"/>
    <w:rsid w:val="6E651BFD"/>
    <w:rsid w:val="6E766686"/>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203301"/>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